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A6" w:rsidRPr="00E15635" w:rsidRDefault="00C13B2F" w:rsidP="00020EA6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Методическая разработка открытого урока по теме «Амортизация основных средств» </w:t>
      </w:r>
    </w:p>
    <w:p w:rsidR="00020EA6" w:rsidRPr="00E15635" w:rsidRDefault="00020EA6" w:rsidP="00020EA6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B2F" w:rsidRDefault="00C13B2F" w:rsidP="00C13B2F">
      <w:pPr>
        <w:spacing w:after="0" w:line="36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</w:t>
      </w:r>
      <w:r w:rsidRPr="00E15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0EA6" w:rsidRPr="00E1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Смолина</w:t>
      </w:r>
      <w:r w:rsidR="00E772ED" w:rsidRPr="00E15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772ED" w:rsidRPr="00E1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24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спецдисциплин</w:t>
      </w:r>
      <w:proofErr w:type="spellEnd"/>
    </w:p>
    <w:p w:rsidR="00020EA6" w:rsidRPr="00E15635" w:rsidRDefault="00C13B2F" w:rsidP="00C13B2F">
      <w:pPr>
        <w:spacing w:after="0" w:line="36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ГБПОУ МО</w:t>
      </w:r>
      <w:r w:rsidR="00E772ED" w:rsidRPr="00E15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«Колледж «Коломна»</w:t>
      </w:r>
    </w:p>
    <w:p w:rsidR="00185C01" w:rsidRPr="00185C01" w:rsidRDefault="00185C01" w:rsidP="00020E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01" w:rsidRDefault="00185C01" w:rsidP="00020E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</w:t>
      </w:r>
      <w:r w:rsidR="007520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5C01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недел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8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8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</w:t>
      </w:r>
      <w:r w:rsidR="009D3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МО</w:t>
      </w:r>
      <w:r w:rsidR="0037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«Коломна» </w:t>
      </w:r>
      <w:r w:rsidRPr="0018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открытые занятия, </w:t>
      </w:r>
      <w:r w:rsidR="006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6457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опытом работы и  </w:t>
      </w:r>
      <w:r w:rsidR="006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методические разработки. </w:t>
      </w:r>
      <w:r w:rsidRPr="0018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предлагается методическая разработка открытого урока – практикума по теме «Амортизация основных средств» для </w:t>
      </w:r>
      <w:r w:rsidR="00BC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Pr="00185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38.02.01 «Экономика и бухгалтерский учет»</w:t>
      </w:r>
      <w:r w:rsidR="006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7BF" w:rsidRPr="00185C01" w:rsidRDefault="006457BF" w:rsidP="00020E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E5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урока заключается не только в закреплении изученного материала и получения навыков решения практических задач, </w:t>
      </w:r>
      <w:r w:rsidR="0037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proofErr w:type="gramStart"/>
      <w:r w:rsidR="003721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7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демонстрации </w:t>
      </w:r>
      <w:r w:rsidR="0086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работника бухгалтерии </w:t>
      </w:r>
      <w:r w:rsidR="000D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способа начисления амортизации. Подобные уроки </w:t>
      </w:r>
      <w:proofErr w:type="gramStart"/>
      <w:r w:rsidR="000D08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двойной эффект</w:t>
      </w:r>
      <w:proofErr w:type="gramEnd"/>
      <w:r w:rsidR="000D086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во-первых,  показывают важность изучения и практическ</w:t>
      </w:r>
      <w:r w:rsidR="0044347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D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</w:t>
      </w:r>
      <w:r w:rsidR="000D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или иной темы и, во-вторых, влияют на самооценку  будущих специалистов.</w:t>
      </w:r>
    </w:p>
    <w:p w:rsidR="00BA56CF" w:rsidRPr="00E15635" w:rsidRDefault="00BA56CF" w:rsidP="00BA56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="00032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4B6D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обобщения и систематизации знаний</w:t>
      </w:r>
    </w:p>
    <w:p w:rsidR="00BA56CF" w:rsidRPr="00E15635" w:rsidRDefault="00BA56CF" w:rsidP="00BA56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урока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урок - </w:t>
      </w:r>
      <w:r w:rsidR="0097726B" w:rsidRPr="00E15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практикум</w:t>
      </w:r>
    </w:p>
    <w:p w:rsidR="00020EA6" w:rsidRPr="00E15635" w:rsidRDefault="00020EA6" w:rsidP="00C91C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="00443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A56CF" w:rsidRPr="00E15635" w:rsidRDefault="00776BB5" w:rsidP="002A2DC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образовательная: п</w:t>
      </w:r>
      <w:r w:rsidR="004159C4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роверить степень усвоения темы: «</w:t>
      </w:r>
      <w:r w:rsidR="00C80998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</w:t>
      </w:r>
      <w:r w:rsidR="004159C4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C80998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</w:t>
      </w:r>
      <w:r w:rsidR="004159C4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изученный материал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«Амортизация основных средств»</w:t>
      </w:r>
      <w:r w:rsidR="002A2D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6CF" w:rsidRPr="00E15635" w:rsidRDefault="00776BB5" w:rsidP="002A2DC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4E71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56CF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="003D4E71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</w:t>
      </w:r>
      <w:r w:rsidR="00BA56CF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3D4E71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56CF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анализировать, обобщать и делать выводы о 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 начисления амортизации</w:t>
      </w:r>
      <w:r w:rsidR="00BA56CF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 предприятия</w:t>
      </w:r>
      <w:r w:rsidR="002A2D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6CF" w:rsidRPr="00E15635" w:rsidRDefault="00776BB5" w:rsidP="002A2DC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воспитательная: п</w:t>
      </w:r>
      <w:r w:rsidR="00BA56CF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важность изучения данной темы, расшир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кругозор</w:t>
      </w:r>
      <w:r w:rsidR="00BA56CF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воспитание сознательной экономической грамотности и интереса к предмету</w:t>
      </w:r>
      <w:r w:rsidR="00C80998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EA6" w:rsidRPr="00E15635" w:rsidRDefault="00020EA6" w:rsidP="00C91C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E1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: Теория бухгалтерского учета</w:t>
      </w:r>
      <w:r w:rsidR="00776BB5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76BB5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хозяйственных процессов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Финансы и кредит: «</w:t>
      </w:r>
      <w:r w:rsidR="00F16C49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организации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Аудит: «</w:t>
      </w:r>
      <w:r w:rsidR="00F86CFF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основных средств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6CFF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CFF" w:rsidRPr="00E15635" w:rsidRDefault="00F86CFF" w:rsidP="00020E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занятия:</w:t>
      </w:r>
      <w:r w:rsidR="0044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 - презентаци</w:t>
      </w:r>
      <w:r w:rsidR="007B36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CFF" w:rsidRPr="00E15635" w:rsidRDefault="00F86CFF" w:rsidP="00020E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средства: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ПК</w:t>
      </w:r>
    </w:p>
    <w:p w:rsidR="00D21A47" w:rsidRPr="00E15635" w:rsidRDefault="00096A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</w:t>
      </w:r>
      <w:r w:rsidR="0044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</w:t>
      </w:r>
      <w:r w:rsidRPr="00E15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4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0998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4434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2ED" w:rsidRPr="00E15635" w:rsidRDefault="00642E6F" w:rsidP="00E772ED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350CD3" w:rsidRPr="00E15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5245"/>
      </w:tblGrid>
      <w:tr w:rsidR="0015571D" w:rsidRPr="00E15635" w:rsidTr="00E15635">
        <w:tc>
          <w:tcPr>
            <w:tcW w:w="675" w:type="dxa"/>
            <w:hideMark/>
          </w:tcPr>
          <w:p w:rsidR="00E772ED" w:rsidRPr="00E15635" w:rsidRDefault="00642E6F" w:rsidP="00E15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hideMark/>
          </w:tcPr>
          <w:p w:rsidR="00E772ED" w:rsidRPr="00E15635" w:rsidRDefault="00E772ED" w:rsidP="00E15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E772ED" w:rsidRPr="00E15635" w:rsidRDefault="00E772ED" w:rsidP="00E15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мин.</w:t>
            </w:r>
          </w:p>
        </w:tc>
        <w:tc>
          <w:tcPr>
            <w:tcW w:w="5245" w:type="dxa"/>
            <w:hideMark/>
          </w:tcPr>
          <w:p w:rsidR="00E772ED" w:rsidRPr="00E15635" w:rsidRDefault="00E772ED" w:rsidP="00E15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15571D" w:rsidRPr="00E15635" w:rsidTr="00E15635">
        <w:tc>
          <w:tcPr>
            <w:tcW w:w="675" w:type="dxa"/>
            <w:hideMark/>
          </w:tcPr>
          <w:p w:rsidR="00E772ED" w:rsidRPr="00E15635" w:rsidRDefault="00E772ED" w:rsidP="00EA7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hideMark/>
          </w:tcPr>
          <w:p w:rsidR="00E772ED" w:rsidRPr="00E15635" w:rsidRDefault="00E772ED" w:rsidP="00EA7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часть</w:t>
            </w:r>
          </w:p>
        </w:tc>
        <w:tc>
          <w:tcPr>
            <w:tcW w:w="1134" w:type="dxa"/>
            <w:hideMark/>
          </w:tcPr>
          <w:p w:rsidR="00E772ED" w:rsidRPr="00E15635" w:rsidRDefault="00E772ED" w:rsidP="00EA78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hideMark/>
          </w:tcPr>
          <w:p w:rsidR="00E772ED" w:rsidRPr="00E15635" w:rsidRDefault="002302DD" w:rsidP="002302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т</w:t>
            </w:r>
            <w:r w:rsidR="00E772ED"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E772ED"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постановка цели занятия</w:t>
            </w:r>
            <w:r w:rsidR="00E772ED" w:rsidRPr="00E156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5571D" w:rsidRPr="00E15635" w:rsidTr="00E15635">
        <w:tc>
          <w:tcPr>
            <w:tcW w:w="675" w:type="dxa"/>
            <w:hideMark/>
          </w:tcPr>
          <w:p w:rsidR="00E772ED" w:rsidRPr="00E15635" w:rsidRDefault="00E772ED" w:rsidP="00EA7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hideMark/>
          </w:tcPr>
          <w:p w:rsidR="00E772ED" w:rsidRPr="00E15635" w:rsidRDefault="00E772ED" w:rsidP="00EA7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Вводный материал </w:t>
            </w:r>
          </w:p>
        </w:tc>
        <w:tc>
          <w:tcPr>
            <w:tcW w:w="1134" w:type="dxa"/>
            <w:hideMark/>
          </w:tcPr>
          <w:p w:rsidR="00E772ED" w:rsidRPr="00E15635" w:rsidRDefault="00970598" w:rsidP="00EA78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hideMark/>
          </w:tcPr>
          <w:p w:rsidR="00E772ED" w:rsidRPr="00E15635" w:rsidRDefault="00970598" w:rsidP="009705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п</w:t>
            </w:r>
            <w:r w:rsidR="002302DD"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</w:t>
            </w: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302DD"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</w:t>
            </w:r>
          </w:p>
        </w:tc>
      </w:tr>
      <w:tr w:rsidR="0015571D" w:rsidRPr="00E15635" w:rsidTr="00E15635">
        <w:trPr>
          <w:trHeight w:val="858"/>
        </w:trPr>
        <w:tc>
          <w:tcPr>
            <w:tcW w:w="675" w:type="dxa"/>
            <w:hideMark/>
          </w:tcPr>
          <w:p w:rsidR="00E772ED" w:rsidRPr="00E15635" w:rsidRDefault="00E772ED" w:rsidP="00EA7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hideMark/>
          </w:tcPr>
          <w:p w:rsidR="00E772ED" w:rsidRPr="00E15635" w:rsidRDefault="00970598" w:rsidP="00E15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 по теме посредством повторения</w:t>
            </w:r>
          </w:p>
        </w:tc>
        <w:tc>
          <w:tcPr>
            <w:tcW w:w="1134" w:type="dxa"/>
            <w:hideMark/>
          </w:tcPr>
          <w:p w:rsidR="00E772ED" w:rsidRPr="00E15635" w:rsidRDefault="00D7445C" w:rsidP="00607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45" w:type="dxa"/>
            <w:hideMark/>
          </w:tcPr>
          <w:p w:rsidR="0015571D" w:rsidRPr="00E15635" w:rsidRDefault="0015571D" w:rsidP="006071F7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по пройденному материалу</w:t>
            </w:r>
          </w:p>
          <w:p w:rsidR="00E772ED" w:rsidRPr="00E15635" w:rsidRDefault="0015571D" w:rsidP="006071F7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70598"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амопров</w:t>
            </w: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ерка учащимися усвоенных знаний</w:t>
            </w:r>
            <w:r w:rsidR="00D7445C"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7445C"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взаимооценка</w:t>
            </w:r>
            <w:proofErr w:type="spellEnd"/>
            <w:r w:rsidR="00D7445C"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5571D" w:rsidRPr="00E15635" w:rsidTr="00E15635">
        <w:tc>
          <w:tcPr>
            <w:tcW w:w="675" w:type="dxa"/>
            <w:hideMark/>
          </w:tcPr>
          <w:p w:rsidR="00E772ED" w:rsidRPr="00E15635" w:rsidRDefault="00E772ED" w:rsidP="00EA7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hideMark/>
          </w:tcPr>
          <w:p w:rsidR="00E772ED" w:rsidRPr="00E15635" w:rsidRDefault="0015571D" w:rsidP="00EA7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 посредством решения практической задачи</w:t>
            </w:r>
          </w:p>
        </w:tc>
        <w:tc>
          <w:tcPr>
            <w:tcW w:w="1134" w:type="dxa"/>
            <w:hideMark/>
          </w:tcPr>
          <w:p w:rsidR="00E772ED" w:rsidRPr="00E15635" w:rsidRDefault="00D7445C" w:rsidP="00EA78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45" w:type="dxa"/>
            <w:hideMark/>
          </w:tcPr>
          <w:p w:rsidR="00E772ED" w:rsidRPr="00E15635" w:rsidRDefault="0015571D" w:rsidP="00E772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задачи </w:t>
            </w:r>
            <w:r w:rsidR="006071F7"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вариантам </w:t>
            </w: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группах</w:t>
            </w:r>
          </w:p>
        </w:tc>
      </w:tr>
      <w:tr w:rsidR="0015571D" w:rsidRPr="00E15635" w:rsidTr="00E15635">
        <w:tc>
          <w:tcPr>
            <w:tcW w:w="675" w:type="dxa"/>
          </w:tcPr>
          <w:p w:rsidR="0015571D" w:rsidRPr="00E15635" w:rsidRDefault="0015571D" w:rsidP="00EA7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15571D" w:rsidRPr="00E15635" w:rsidRDefault="0015571D" w:rsidP="001557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 </w:t>
            </w:r>
          </w:p>
        </w:tc>
        <w:tc>
          <w:tcPr>
            <w:tcW w:w="1134" w:type="dxa"/>
          </w:tcPr>
          <w:p w:rsidR="0015571D" w:rsidRPr="00E15635" w:rsidRDefault="00D7445C" w:rsidP="00D74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45" w:type="dxa"/>
          </w:tcPr>
          <w:p w:rsidR="0015571D" w:rsidRPr="00E15635" w:rsidRDefault="0015571D" w:rsidP="00E772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выводов в соответствии с полученными результатами</w:t>
            </w:r>
          </w:p>
        </w:tc>
      </w:tr>
      <w:tr w:rsidR="0015571D" w:rsidRPr="00E15635" w:rsidTr="00E15635">
        <w:tc>
          <w:tcPr>
            <w:tcW w:w="675" w:type="dxa"/>
          </w:tcPr>
          <w:p w:rsidR="0015571D" w:rsidRPr="00E15635" w:rsidRDefault="0015571D" w:rsidP="00EA7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15571D" w:rsidRPr="00E15635" w:rsidRDefault="0015571D" w:rsidP="00EA7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1134" w:type="dxa"/>
          </w:tcPr>
          <w:p w:rsidR="0015571D" w:rsidRPr="00E15635" w:rsidRDefault="00D7445C" w:rsidP="00EA78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</w:tcPr>
          <w:p w:rsidR="0015571D" w:rsidRPr="00E15635" w:rsidRDefault="006071F7" w:rsidP="00E772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студентами собственных действий, умений, навыков</w:t>
            </w:r>
          </w:p>
        </w:tc>
      </w:tr>
      <w:tr w:rsidR="0015571D" w:rsidRPr="00E15635" w:rsidTr="00E15635">
        <w:tc>
          <w:tcPr>
            <w:tcW w:w="675" w:type="dxa"/>
            <w:hideMark/>
          </w:tcPr>
          <w:p w:rsidR="00E772ED" w:rsidRPr="00E15635" w:rsidRDefault="0015571D" w:rsidP="00EA7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hideMark/>
          </w:tcPr>
          <w:p w:rsidR="00E772ED" w:rsidRPr="00E15635" w:rsidRDefault="00E772ED" w:rsidP="00EA7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домашнего задания</w:t>
            </w:r>
          </w:p>
        </w:tc>
        <w:tc>
          <w:tcPr>
            <w:tcW w:w="1134" w:type="dxa"/>
            <w:hideMark/>
          </w:tcPr>
          <w:p w:rsidR="00E772ED" w:rsidRPr="00E15635" w:rsidRDefault="0015571D" w:rsidP="00EA78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hideMark/>
          </w:tcPr>
          <w:p w:rsidR="00E772ED" w:rsidRPr="00E15635" w:rsidRDefault="0015571D" w:rsidP="001557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эссе по теме «Как выбрать способ начисления амортизации»</w:t>
            </w:r>
          </w:p>
        </w:tc>
      </w:tr>
    </w:tbl>
    <w:p w:rsidR="00096A98" w:rsidRPr="00E15635" w:rsidRDefault="00096A98">
      <w:pPr>
        <w:rPr>
          <w:rFonts w:ascii="Times New Roman" w:hAnsi="Times New Roman" w:cs="Times New Roman"/>
          <w:sz w:val="28"/>
          <w:szCs w:val="28"/>
        </w:rPr>
      </w:pPr>
    </w:p>
    <w:p w:rsidR="00CB2C35" w:rsidRPr="00E15635" w:rsidRDefault="00CB2C35" w:rsidP="006A0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занятия – это сообщение темы, постановка цели и знакомство с планом урока. Тему занятия сообщает преподаватель, а цели урока формулируются преподавателем совместно со студентами.</w:t>
      </w:r>
    </w:p>
    <w:p w:rsidR="00267875" w:rsidRDefault="00CA4489" w:rsidP="006A0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Второй этап – тестирование. </w:t>
      </w:r>
      <w:r w:rsidR="002678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целью повышения мотивации студентов к получению знаний по бухгалтерскому учету</w:t>
      </w:r>
      <w:r w:rsidR="006C54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их</w:t>
      </w:r>
      <w:r w:rsidR="002678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вниманию </w:t>
      </w:r>
      <w:r w:rsidR="002678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предлагается </w:t>
      </w:r>
      <w:r w:rsid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один из типовых </w:t>
      </w:r>
      <w:r w:rsidR="002678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тест</w:t>
      </w:r>
      <w:r w:rsid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</w:t>
      </w:r>
      <w:r w:rsidR="002678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который </w:t>
      </w:r>
      <w:r w:rsidR="006A39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используют </w:t>
      </w:r>
      <w:r w:rsidR="006A3992" w:rsidRPr="002678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отечественны</w:t>
      </w:r>
      <w:r w:rsidR="006A39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="006A3992" w:rsidRPr="002678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компани</w:t>
      </w:r>
      <w:r w:rsidR="006A39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и </w:t>
      </w:r>
      <w:r w:rsidR="006A3992" w:rsidRPr="002678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ведущие аудиторы</w:t>
      </w:r>
      <w:r w:rsidR="007B36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632106" w:rsidRPr="002678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определения профессиональных навыков сотрудников</w:t>
      </w:r>
      <w:r w:rsidR="0063210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 С помощью </w:t>
      </w:r>
      <w:r w:rsidR="006C54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подобных</w:t>
      </w:r>
      <w:r w:rsidR="0063210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тест</w:t>
      </w:r>
      <w:r w:rsidR="006C54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</w:t>
      </w:r>
      <w:r w:rsidR="007B36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632106" w:rsidRPr="002678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проверяют узкоспециализированные знания – то, что должен знать каждый бухгалтер</w:t>
      </w:r>
      <w:r w:rsidR="0063210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Данный тест </w:t>
      </w:r>
      <w:r w:rsid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позволяет не только проверить степень усвоения изученного материала, но и нацелить  студентов на более серьезный подход к изучению дисциплины. </w:t>
      </w:r>
    </w:p>
    <w:p w:rsidR="006C5446" w:rsidRDefault="006C5446" w:rsidP="006A0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Тест представлен в виде презентации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Слайды меняются автоматически, на каждый слайд отведено определенное количество времени в зависимости от сложности вопроса.</w:t>
      </w:r>
    </w:p>
    <w:p w:rsidR="006C5446" w:rsidRDefault="00790F4E" w:rsidP="006A0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744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Тест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1). В какой из приведенных ситуаций оборудование не должно относиться к основным средствам в бухгалтерском учете?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 оборудование предназначено для использования в течение 18 месяцев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б) оборудование приобретено, но не оплачено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в) оборудование приобретено в целях его последующей перепродажи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оборудование всегда должно относиться к основным средствам в бухгалтерском учете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2) Приобретенное организацией в целях служебного использования транспортное средство, бывшее в эксплуатации, стоимостью менее 40 000 рублей, в бухгалтерском учете: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 не должно признаваться основным средством и подлежит отражению в составе материально-производственных запасов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б) должно признаваться основным средством (с начислением амортизации в общем порядке)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в) должно признаваться основным средством (с возможностью единовременного начисления амортизации в размере 100% в месяце, следующем за месяцем ввода в эксплуатацию)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г) по выбору организации может либо признаваться основным средством (с начислением амортизации в общем порядке), либо отражаться в составе материально-производственных запасов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3). Признаются ли расходы на ремонт арендуемых помещений (покраска стен, потолков и другие аналогичные работы) объектом основных сре</w:t>
      </w:r>
      <w:proofErr w:type="gramStart"/>
      <w:r w:rsidRPr="00180E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дств в б</w:t>
      </w:r>
      <w:proofErr w:type="gramEnd"/>
      <w:r w:rsidRPr="00180E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ухгалтерском и налоговом учете компании-арендатора?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 признаются, если осуществление таких расходов предусмотрено договором аренды и согласовано с арендодателем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б) признаются, если права на возникающие в результате ремонта неотделимые улучшения будут принадлежать арендатору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в) признаются, если осуществление таких расходов предусмотрено договором аренды, согласовано с арендодателем и права на возникающие в результате ремонта неотделимые улучшения будут принадлежать арендатору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не признаются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4). Расходы, непосредственно связанные с приобретением основных средств, в бухгалтерском и налоговом учете: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 отражаются в составе текущих расходов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б) включаются в первоначальную стоимость основных средств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в) включаются в первоначальную стоимость основных средств и отражаются в составе текущих расходов в равных долях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включаются в первоначальную стоимость основных средств только в части расходов на доставку основных средств, в остальной части отражаются в составе текущих расходов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5). Стоимость основных средств, в которой они приняты к бухгалтерскому и налоговому учету, подлежит изменению в случаях: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 перемещения основных средств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б) морального и физического износа основных средств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в) реконструкции и модернизации основных средств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г) изменение первоначальной стоимости основных средств, в которой они приняты к учету, не допускается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6). Начисление амортизационных от</w:t>
      </w:r>
      <w:bookmarkStart w:id="0" w:name="_GoBack"/>
      <w:bookmarkEnd w:id="0"/>
      <w:r w:rsidRPr="00180E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числений по объекту основных сре</w:t>
      </w:r>
      <w:proofErr w:type="gramStart"/>
      <w:r w:rsidRPr="00180E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дств в б</w:t>
      </w:r>
      <w:proofErr w:type="gramEnd"/>
      <w:r w:rsidRPr="00180E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ухгалтерском и налоговом учете начинается: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с первого числа месяца, в котором объект основных сре</w:t>
      </w:r>
      <w:proofErr w:type="gramStart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дств пр</w:t>
      </w:r>
      <w:proofErr w:type="gramEnd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инят к учету (введен в эксплуатацию)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б) с первого числа месяца, следующего за месяцем принятия объекта основных средств к учету (ввода в эксплуатацию)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в) </w:t>
      </w:r>
      <w:proofErr w:type="gramStart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даты постановки</w:t>
      </w:r>
      <w:proofErr w:type="gramEnd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объекта основных средств на учет (даты ввода в эксплуатацию)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г) организация может выбрать один из трех указанных вариантов, закрепив соответствующее положение в учетной политике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180E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). Инвентарная карточка учета объекта основных сре</w:t>
      </w:r>
      <w:proofErr w:type="gramStart"/>
      <w:r w:rsidRPr="00180E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дств пр</w:t>
      </w:r>
      <w:proofErr w:type="gramEnd"/>
      <w:r w:rsidRPr="00180E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именяется: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 для оформления продажи основных средств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б) для оформления приобретения основных средств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в) для оформления ввода основных средств в эксплуатацию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для учета наличия основных средств, а также учета их движения внутри организации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8). Инвентарный номер присваивается: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 каждому объекту основных средств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б) только зданиям и сооружениям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в) только объектам с высокой стоимостью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зданиям, сооружениям и транспортным средствам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9). Какие бухгалтерские записи должны производиться при приобретении объекта основных средств?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 Д 01 – К 60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б) Д 01 – К 62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в) Д 01 – К 76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г) ни одна из приведенных записей не является правильной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10). Какими бухгалтерскими записями может отражаться списание основных средств?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Д 01 (</w:t>
      </w:r>
      <w:proofErr w:type="spellStart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субсчет</w:t>
      </w:r>
      <w:proofErr w:type="spellEnd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«Выбытие ОС») – К 01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 02 – К 01 (</w:t>
      </w:r>
      <w:proofErr w:type="spellStart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субсчет</w:t>
      </w:r>
      <w:proofErr w:type="spellEnd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«Выбытие ОС»)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 91.2 – К 01 (</w:t>
      </w:r>
      <w:proofErr w:type="spellStart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субсчет</w:t>
      </w:r>
      <w:proofErr w:type="spellEnd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«Выбытие ОС»)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Д 01 – К 01 (</w:t>
      </w:r>
      <w:proofErr w:type="spellStart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субсчет</w:t>
      </w:r>
      <w:proofErr w:type="spellEnd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«Выбытие ОС»)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 91.2 – К 01 (</w:t>
      </w:r>
      <w:proofErr w:type="spellStart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субсчет</w:t>
      </w:r>
      <w:proofErr w:type="spellEnd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«Выбытие ОС»)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 01 (</w:t>
      </w:r>
      <w:proofErr w:type="spellStart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субсчет</w:t>
      </w:r>
      <w:proofErr w:type="spellEnd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«Выбытие ОС») – К 02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Д 01 – К 01 (</w:t>
      </w:r>
      <w:proofErr w:type="spellStart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субсчет</w:t>
      </w:r>
      <w:proofErr w:type="spellEnd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«Выбытие ОС»)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 02 – К 01 (</w:t>
      </w:r>
      <w:proofErr w:type="spellStart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субсчет</w:t>
      </w:r>
      <w:proofErr w:type="spellEnd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«Выбытие ОС»)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 91.2 – К 01 (</w:t>
      </w:r>
      <w:proofErr w:type="spellStart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субсчет</w:t>
      </w:r>
      <w:proofErr w:type="spellEnd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«Выбытие ОС»)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Д 01 (</w:t>
      </w:r>
      <w:proofErr w:type="spellStart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субсчет</w:t>
      </w:r>
      <w:proofErr w:type="spellEnd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«Выбытие ОС») – К 01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 91.02 – К 01 (</w:t>
      </w:r>
      <w:proofErr w:type="spellStart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субсчет</w:t>
      </w:r>
      <w:proofErr w:type="spellEnd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«Выбытие ОС»)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 91.02 – К 02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ПРАВИЛЬНЫЕ ОТВЕТЫ: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в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г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г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б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5) в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6) б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7) г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8) а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9) г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10) а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СТОП-ОТВЕТЫ</w:t>
      </w:r>
      <w:proofErr w:type="gramEnd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б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в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6) в или </w:t>
      </w:r>
      <w:proofErr w:type="gramStart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</w:t>
      </w:r>
      <w:proofErr w:type="gramEnd"/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9) а, </w:t>
      </w:r>
      <w:proofErr w:type="gramStart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</w:t>
      </w:r>
      <w:proofErr w:type="gramEnd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или в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ПЛЮС-ОТВЕТЫ</w:t>
      </w:r>
      <w:proofErr w:type="gramEnd"/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</w:t>
      </w:r>
    </w:p>
    <w:p w:rsidR="00180EB2" w:rsidRP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г </w:t>
      </w:r>
    </w:p>
    <w:p w:rsidR="00180EB2" w:rsidRDefault="00180EB2" w:rsidP="0018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80E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10) а</w:t>
      </w:r>
    </w:p>
    <w:p w:rsidR="00FE14FB" w:rsidRPr="00FE14FB" w:rsidRDefault="00CB2C35" w:rsidP="006A0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Проверяют и оценивают тест сами студенты</w:t>
      </w:r>
      <w:r w:rsidR="00C845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  <w:r w:rsidR="007B36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90F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студенты меняются листками для проверки </w:t>
      </w:r>
      <w:r w:rsidR="00D744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результатов</w:t>
      </w:r>
      <w:r w:rsidR="00790F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На экране появляются вопросы теста и правильны</w:t>
      </w:r>
      <w:r w:rsidR="00C845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="00790F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ответ</w:t>
      </w:r>
      <w:r w:rsidR="00C845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</w:t>
      </w:r>
      <w:r w:rsidR="00790F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которы</w:t>
      </w:r>
      <w:r w:rsidR="00C845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="007B36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комментирует</w:t>
      </w:r>
      <w:r w:rsidR="00F862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преподаватель</w:t>
      </w:r>
      <w:r w:rsidR="00C845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сами студенты</w:t>
      </w:r>
      <w:r w:rsidR="00F862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 т</w:t>
      </w:r>
      <w:r w:rsidR="00790F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есте есть стоп</w:t>
      </w:r>
      <w:r w:rsidR="00BC3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90F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BC3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90F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ответы и плюс</w:t>
      </w:r>
      <w:r w:rsidR="00BC3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90F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BC3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90F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ответы</w:t>
      </w:r>
      <w:r w:rsid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7B36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которые упрощают процедуру оценки</w:t>
      </w:r>
      <w:r w:rsidR="007B36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полученных результатов.</w:t>
      </w:r>
      <w:r w:rsidR="007B36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E14FB" w:rsidRP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Стоп</w:t>
      </w:r>
      <w:r w:rsidR="00BC3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E14FB" w:rsidRP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BC3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E14FB" w:rsidRP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ответы – ответы, содержащие грубые неточности. Такие ответы могут означать непонимание тестируемым </w:t>
      </w:r>
      <w:r w:rsid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студентом</w:t>
      </w:r>
      <w:r w:rsidR="00FE14FB" w:rsidRP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самых простых, базовых положений в тестируемой </w:t>
      </w:r>
      <w:r w:rsid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теме</w:t>
      </w:r>
      <w:r w:rsidR="00FE14FB" w:rsidRP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Наличие среди ответов хотя бы одного стоп</w:t>
      </w:r>
      <w:r w:rsidR="00BC3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E14FB" w:rsidRP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BC3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E14FB" w:rsidRP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ответа должно стать причиной более детального устного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опроса</w:t>
      </w:r>
      <w:r w:rsidR="00FE14FB" w:rsidRP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соответствующего </w:t>
      </w:r>
      <w:r w:rsid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студента</w:t>
      </w:r>
      <w:r w:rsidR="00FE14FB" w:rsidRP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В случае присутствия в ответах двух или более стоп-ответов </w:t>
      </w:r>
      <w:r w:rsidR="00152D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свидетельствует о низкой степени усвоения пройденного материала. (На практике, если тестируемый специалист допустил </w:t>
      </w:r>
      <w:proofErr w:type="gramStart"/>
      <w:r w:rsidR="00152D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два и более стоп</w:t>
      </w:r>
      <w:proofErr w:type="gramEnd"/>
      <w:r w:rsidR="00BC3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152D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BC3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152D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ответа, </w:t>
      </w:r>
      <w:r w:rsidR="00FE14FB" w:rsidRP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рекомендуется не рассматривать </w:t>
      </w:r>
      <w:r w:rsidR="00152D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его кандидатуру)</w:t>
      </w:r>
      <w:r w:rsidR="00FE14FB" w:rsidRP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FE14FB" w:rsidRDefault="00FE14FB" w:rsidP="006A0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Плюс</w:t>
      </w:r>
      <w:r w:rsidR="00BC3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BC3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ответы – правильные ответы, данные на вопросы повышенной сложности. Наличие плюс</w:t>
      </w:r>
      <w:r w:rsidR="00BC3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BC3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ответов среди ответов тестируемого (при отсутствии стоп-ответов) может характеризовать такого </w:t>
      </w:r>
      <w:r w:rsidR="00152D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студента</w:t>
      </w:r>
      <w:r w:rsidRP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как обладающего глубокими знаниями </w:t>
      </w:r>
      <w:r w:rsidR="00152D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</w:t>
      </w:r>
      <w:r w:rsidRP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тестируемой </w:t>
      </w:r>
      <w:r w:rsidR="00152D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теме</w:t>
      </w:r>
      <w:r w:rsidRPr="00FE14F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790F4E" w:rsidRDefault="00152DA2" w:rsidP="006A0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Оценки за тест студенты проставляют самостоятельно (</w:t>
      </w:r>
      <w:r w:rsidR="00CB2C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5-7 правильных ответ</w:t>
      </w:r>
      <w:r w:rsidR="00CB2C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«3», </w:t>
      </w:r>
      <w:r w:rsidR="00CB2C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8-9 правильных ответ</w:t>
      </w:r>
      <w:r w:rsidR="00CB2C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«4», 10 правильных ответов – «5») и затем оглашают их. </w:t>
      </w:r>
    </w:p>
    <w:p w:rsidR="006A08F0" w:rsidRDefault="00D2219F" w:rsidP="006A0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A08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Следует отметить, что взаимное оценивание дает учащимся возможность не только взаимодействовать друг с другом, но и закреплять изученный материал посредством оценивания друг друга. Ответственность за обратную связь и повышение уровня достижений своих однокурсников дает учащимся возможность усваивать изучаемые концепции для более эффективного оценивания друг друга. Кроме того, взаимное оценивание </w:t>
      </w:r>
      <w:r w:rsidRPr="006A08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обеспечивает для преподавателя представление об успехах всей группы на основе изученного материала, усвоение которых оценивается самими студентами.</w:t>
      </w:r>
    </w:p>
    <w:p w:rsidR="00D2219F" w:rsidRDefault="00D2219F" w:rsidP="006A0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A08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Преимуществом </w:t>
      </w:r>
      <w:proofErr w:type="spellStart"/>
      <w:r w:rsidRPr="006A08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взаимооценки</w:t>
      </w:r>
      <w:proofErr w:type="spellEnd"/>
      <w:r w:rsidRPr="006A08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является то, что учащиеся учатся отмечать сильные и слабые стороны других и, таким образом, анализируют собственный прогресс.</w:t>
      </w:r>
    </w:p>
    <w:p w:rsidR="005F5108" w:rsidRDefault="00CA4489" w:rsidP="006A0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третьем этапе </w:t>
      </w:r>
      <w:r w:rsidR="00DF3C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студенты разбиваются на 4 группы по 4-5 человек, образуя круглые столы. </w:t>
      </w:r>
      <w:r w:rsidR="007436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Перед аудиторией ставится </w:t>
      </w:r>
      <w:proofErr w:type="gramStart"/>
      <w:r w:rsidR="007436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проблема</w:t>
      </w:r>
      <w:proofErr w:type="gramEnd"/>
      <w:r w:rsidR="00C845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 к</w:t>
      </w:r>
      <w:r w:rsidR="007436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акой способ амортизации выбрать для</w:t>
      </w:r>
      <w:r w:rsidR="00C845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конкретной организации</w:t>
      </w:r>
      <w:r w:rsidR="005F51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Для этого предлагается оценить влияние способа начисления амортизации на размер налога на имущество. </w:t>
      </w:r>
    </w:p>
    <w:p w:rsidR="007436B9" w:rsidRDefault="00DF3C2B" w:rsidP="006A0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Каждая группа </w:t>
      </w:r>
      <w:r w:rsidR="005F51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студентов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основании жеребьевки получает задание – на основании исходных данных рассчитать амортизацию основного средства одним из способов</w:t>
      </w:r>
      <w:r w:rsidR="005F51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рассчитать налог на имущество</w:t>
      </w:r>
      <w:r w:rsidR="00AB666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7436B9" w:rsidRDefault="007436B9" w:rsidP="006A0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Задача. </w:t>
      </w:r>
    </w:p>
    <w:p w:rsidR="005F5108" w:rsidRDefault="005F5108" w:rsidP="006A0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F51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Предположим, первоначальная стоимость оборудования в бухучете – 4 млн</w:t>
      </w:r>
      <w:r w:rsidR="00C845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5F51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рублей. Оборудование включается в четвертую амортизационную группу, установленный срок полезного использования – пять лет. Повышающий коэффициент при использовании способа уменьшаемого остатка равен 3. </w:t>
      </w:r>
      <w:proofErr w:type="gramStart"/>
      <w:r w:rsidRPr="005F51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расчете способом списания стоимости пропорционально объему продукции предполагаемый объем выпуска продукции за весь срок полезного использования объекта – 1 млн</w:t>
      </w:r>
      <w:r w:rsidR="00C845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5F51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единиц, фактический объем </w:t>
      </w:r>
      <w:r w:rsidR="00C845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 первый год</w:t>
      </w:r>
      <w:r w:rsidRPr="005F51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составляет 220 тыс. единиц, </w:t>
      </w:r>
      <w:r w:rsidR="00C845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 второй</w:t>
      </w:r>
      <w:r w:rsidRPr="005F51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200 тыс. единиц, </w:t>
      </w:r>
      <w:r w:rsidR="00C845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 третий - </w:t>
      </w:r>
      <w:r w:rsidRPr="005F51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также 200 тыс. единиц, </w:t>
      </w:r>
      <w:r w:rsidR="00C845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 четвертый</w:t>
      </w:r>
      <w:r w:rsidRPr="005F51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160 тыс. единиц и </w:t>
      </w:r>
      <w:r w:rsidR="00C845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 пятый</w:t>
      </w:r>
      <w:r w:rsidRPr="005F51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180 тыс. единиц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Ставка налога на имущество – 2%.</w:t>
      </w:r>
    </w:p>
    <w:p w:rsidR="00CA4489" w:rsidRDefault="00AB6660" w:rsidP="006A0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Результаты </w:t>
      </w:r>
      <w:r w:rsidR="00CA44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представить в таблице</w:t>
      </w:r>
      <w:r w:rsidR="00BE3F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E2E29" w:rsidRDefault="00CA4489" w:rsidP="00BE3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Таблица 1 –</w:t>
      </w:r>
      <w:r w:rsidR="00BE3F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Расчет амортизации основного средства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2417"/>
        <w:gridCol w:w="1787"/>
        <w:gridCol w:w="1712"/>
        <w:gridCol w:w="1399"/>
        <w:gridCol w:w="1415"/>
      </w:tblGrid>
      <w:tr w:rsidR="00DB714B" w:rsidRPr="00DB714B" w:rsidTr="00DB714B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85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Первоначальная стоимость объекта ОС - 4.000.000 руб.                    </w:t>
            </w:r>
          </w:p>
          <w:p w:rsid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Способ амортизации - ____________________________________</w:t>
            </w:r>
            <w:r w:rsidR="004C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0B6370" w:rsidRPr="00DB714B" w:rsidRDefault="000B6370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14B" w:rsidRPr="00DB714B" w:rsidTr="00DB714B">
        <w:trPr>
          <w:trHeight w:val="79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4B" w:rsidRPr="00DB714B" w:rsidRDefault="004C2585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B714B"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асчет амортизации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4B" w:rsidRPr="00DB714B" w:rsidRDefault="004C2585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B714B"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одовая сумма амортизации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4B" w:rsidRPr="00DB714B" w:rsidRDefault="004C2585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B714B"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умма накопленной амортизации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4B" w:rsidRPr="00DB714B" w:rsidRDefault="004C2585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B714B"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статочная стоимость ОС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14B" w:rsidRPr="00DB714B" w:rsidRDefault="004C2585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B714B"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умма налога на имущество</w:t>
            </w:r>
          </w:p>
        </w:tc>
      </w:tr>
      <w:tr w:rsidR="00DB714B" w:rsidRPr="00DB714B" w:rsidTr="00DB714B">
        <w:trPr>
          <w:trHeight w:val="28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714B" w:rsidRPr="00DB714B" w:rsidTr="00DB714B">
        <w:trPr>
          <w:trHeight w:val="28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714B" w:rsidRPr="00DB714B" w:rsidTr="00DB714B">
        <w:trPr>
          <w:trHeight w:val="28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714B" w:rsidRPr="00DB714B" w:rsidTr="00DB714B">
        <w:trPr>
          <w:trHeight w:val="28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714B" w:rsidRPr="00DB714B" w:rsidTr="00DB714B">
        <w:trPr>
          <w:trHeight w:val="28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14B" w:rsidRPr="00DB714B" w:rsidRDefault="00DB714B" w:rsidP="00DB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15635" w:rsidRDefault="00E15635" w:rsidP="006A0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B6660" w:rsidRDefault="004C2585" w:rsidP="006A0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AB666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время решения задачи преподаватель курирует работу студентов, указывая на ошибки и неточности.</w:t>
      </w:r>
      <w:r w:rsidR="007436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Далее </w:t>
      </w:r>
      <w:r w:rsidR="00E156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 доске выходит по одному </w:t>
      </w:r>
      <w:r w:rsidR="007436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студент</w:t>
      </w:r>
      <w:r w:rsidR="00E156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</w:t>
      </w:r>
      <w:r w:rsidR="007436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каждой рабочей группы</w:t>
      </w:r>
      <w:r w:rsidR="00E156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BC3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156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</w:t>
      </w:r>
      <w:r w:rsidR="007436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сводят  полученные результаты в единую таблицу на доске. </w:t>
      </w:r>
    </w:p>
    <w:p w:rsidR="00BE3F96" w:rsidRDefault="00BE3F96" w:rsidP="00BE3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Таблица 2 - </w:t>
      </w:r>
      <w:r w:rsidRPr="00A118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Сравнение различных способов начисления амортизации,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5"/>
        <w:gridCol w:w="1007"/>
        <w:gridCol w:w="1171"/>
        <w:gridCol w:w="1007"/>
        <w:gridCol w:w="1171"/>
        <w:gridCol w:w="1007"/>
        <w:gridCol w:w="1171"/>
        <w:gridCol w:w="1007"/>
        <w:gridCol w:w="1171"/>
      </w:tblGrid>
      <w:tr w:rsidR="0070327B" w:rsidRPr="0070327B" w:rsidTr="004C2585">
        <w:trPr>
          <w:trHeight w:val="528"/>
        </w:trPr>
        <w:tc>
          <w:tcPr>
            <w:tcW w:w="2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 способ</w:t>
            </w:r>
          </w:p>
        </w:tc>
        <w:tc>
          <w:tcPr>
            <w:tcW w:w="11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уменьшаемого остатка</w:t>
            </w:r>
          </w:p>
        </w:tc>
        <w:tc>
          <w:tcPr>
            <w:tcW w:w="11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 сумме чисел лет</w:t>
            </w:r>
          </w:p>
        </w:tc>
        <w:tc>
          <w:tcPr>
            <w:tcW w:w="117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Способ, пропорциональный</w:t>
            </w:r>
          </w:p>
        </w:tc>
      </w:tr>
      <w:tr w:rsidR="0070327B" w:rsidRPr="0070327B" w:rsidTr="004C2585">
        <w:trPr>
          <w:trHeight w:val="300"/>
        </w:trPr>
        <w:tc>
          <w:tcPr>
            <w:tcW w:w="2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объему продукции</w:t>
            </w:r>
          </w:p>
        </w:tc>
      </w:tr>
      <w:tr w:rsidR="0070327B" w:rsidRPr="0070327B" w:rsidTr="004C2585">
        <w:trPr>
          <w:trHeight w:val="528"/>
        </w:trPr>
        <w:tc>
          <w:tcPr>
            <w:tcW w:w="2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начисленный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начисленный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начисленный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начисленный</w:t>
            </w:r>
          </w:p>
        </w:tc>
      </w:tr>
      <w:tr w:rsidR="0070327B" w:rsidRPr="0070327B" w:rsidTr="004C2585">
        <w:trPr>
          <w:trHeight w:val="540"/>
        </w:trPr>
        <w:tc>
          <w:tcPr>
            <w:tcW w:w="2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</w:p>
        </w:tc>
      </w:tr>
      <w:tr w:rsidR="0070327B" w:rsidRPr="0070327B" w:rsidTr="004C2585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4C2585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2 666 667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53 333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3 120 000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62 400</w:t>
            </w:r>
          </w:p>
        </w:tc>
      </w:tr>
      <w:tr w:rsidR="0070327B" w:rsidRPr="0070327B" w:rsidTr="004C2585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4C2585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2 320 000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46 400</w:t>
            </w:r>
          </w:p>
        </w:tc>
      </w:tr>
      <w:tr w:rsidR="0070327B" w:rsidRPr="0070327B" w:rsidTr="004C2585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4C2585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1 520 000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30 400</w:t>
            </w:r>
          </w:p>
        </w:tc>
      </w:tr>
      <w:tr w:rsidR="0070327B" w:rsidRPr="0070327B" w:rsidTr="004C2585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4C2585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102 400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266 667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17 600</w:t>
            </w:r>
          </w:p>
        </w:tc>
      </w:tr>
      <w:tr w:rsidR="0070327B" w:rsidRPr="0070327B" w:rsidTr="004C2585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4C2585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</w:t>
            </w:r>
          </w:p>
        </w:tc>
      </w:tr>
      <w:tr w:rsidR="0070327B" w:rsidRPr="0070327B" w:rsidTr="004C2585">
        <w:trPr>
          <w:trHeight w:val="30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52 787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106 667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96" w:rsidRPr="0070327B" w:rsidRDefault="00BE3F96" w:rsidP="000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</w:t>
            </w:r>
          </w:p>
        </w:tc>
      </w:tr>
    </w:tbl>
    <w:p w:rsidR="00BE3F96" w:rsidRDefault="00BE3F96" w:rsidP="00BE3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436B9" w:rsidRDefault="007436B9" w:rsidP="006A08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Наглядность представленных результатов позволяет студентам оценить преимущества и недостатки каждого способа начисления амортизации</w:t>
      </w:r>
      <w:r w:rsidR="00E156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основных средств</w:t>
      </w:r>
      <w:r w:rsidR="0021627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6369F3" w:rsidRDefault="00E15635" w:rsidP="00672C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помощью наводящих вопросов преподаватель подводит</w:t>
      </w:r>
      <w:r w:rsidR="00BC3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студентов к следующим выводам:</w:t>
      </w:r>
    </w:p>
    <w:p w:rsidR="00CA4489" w:rsidRPr="0070327B" w:rsidRDefault="006369F3" w:rsidP="00672C66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Преимущество линейного способа состоит в простоте применения и доступности расчетов, что объясняет популярность и </w:t>
      </w:r>
      <w:r w:rsidRPr="00636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широкое использование его на практике. Кроме того, это единственный способ, которому имеется прямой аналог в налоговом учете, что позволяет избежать разниц при начислении амортизации. Так как объекты недвижимости, как правило, приносят доходы равномерно в течение всего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срока полезного использования</w:t>
      </w:r>
      <w:r w:rsidRPr="006369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чисто экономически наиболее обоснованный способ их амортизации —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это </w:t>
      </w:r>
      <w:r w:rsidRPr="0070327B">
        <w:rPr>
          <w:rFonts w:ascii="Times New Roman" w:eastAsia="Times New Roman" w:hAnsi="Times New Roman" w:cs="Times New Roman"/>
          <w:sz w:val="28"/>
          <w:szCs w:val="20"/>
          <w:lang w:eastAsia="ru-RU"/>
        </w:rPr>
        <w:t>линейный. Однако</w:t>
      </w:r>
      <w:proofErr w:type="gramStart"/>
      <w:r w:rsidRPr="0070327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End"/>
      <w:r w:rsidR="00BC35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03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способ не позволяет экономить налог на имущество за счет ускоренного</w:t>
      </w:r>
      <w:r w:rsidR="00BC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27B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уменьшения остаточной стоимости.</w:t>
      </w:r>
    </w:p>
    <w:p w:rsidR="00770A6E" w:rsidRPr="00E15635" w:rsidRDefault="00770A6E" w:rsidP="00672C66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применении способа уменьшаемого остатка, в отличие от линейного, затраты на приобретение ОС учитываются в себестоимости продукции (работ, услуг) неравномерно.</w:t>
      </w:r>
      <w:proofErr w:type="gramEnd"/>
      <w:r w:rsidRPr="00672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первые годы эксплуатации ОС, пока его остаточная стоимость высокая, сумма начисленной амортизации больше, чем при линейном способе. Но по мере уменьшения остаточной стоимости ОС 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годовой амортизации снижается. Однако остаточная стоимость из-за значительного снижения в начале использования ОС всегда будет меньше при этом способе, чем </w:t>
      </w:r>
      <w:proofErr w:type="gramStart"/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линейном. Данный способ позволяет переносить стоимость основного средства в расходы быстрее</w:t>
      </w:r>
      <w:r w:rsidR="003656D2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его несомненным достоинством для целей налогового планирования</w:t>
      </w:r>
      <w:r w:rsidR="003656D2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уменьшается  база по налогу на имущество. Способ уменьшаемого остатка стоит выбрать, если:</w:t>
      </w:r>
    </w:p>
    <w:p w:rsidR="00770A6E" w:rsidRPr="009348CD" w:rsidRDefault="00770A6E" w:rsidP="009348CD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CD">
        <w:rPr>
          <w:rFonts w:ascii="Times New Roman" w:eastAsia="Times New Roman" w:hAnsi="Times New Roman" w:cs="Times New Roman"/>
          <w:sz w:val="28"/>
          <w:szCs w:val="28"/>
          <w:lang w:eastAsia="ru-RU"/>
        </w:rPr>
        <w:t>&lt;или&gt; известно, что оборудование проработает 10 лет, но основная нагрузка придется на первые несколько лет его эксплуатации, так как со временем оно начнет ломаться и простаивать;</w:t>
      </w:r>
    </w:p>
    <w:p w:rsidR="00770A6E" w:rsidRPr="009348CD" w:rsidRDefault="00770A6E" w:rsidP="009348CD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CD">
        <w:rPr>
          <w:rFonts w:ascii="Times New Roman" w:eastAsia="Times New Roman" w:hAnsi="Times New Roman" w:cs="Times New Roman"/>
          <w:sz w:val="28"/>
          <w:szCs w:val="28"/>
          <w:lang w:eastAsia="ru-RU"/>
        </w:rPr>
        <w:t>&lt;или&gt; планирует</w:t>
      </w:r>
      <w:r w:rsidR="003656D2" w:rsidRPr="009348C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3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выпускать новый вид </w:t>
      </w:r>
      <w:proofErr w:type="gramStart"/>
      <w:r w:rsidRPr="00934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proofErr w:type="gramEnd"/>
      <w:r w:rsidRPr="0093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приобретаете для этого производственную линию. Известно, что выручка от продаж в первые годы будет выше, чем </w:t>
      </w:r>
      <w:proofErr w:type="gramStart"/>
      <w:r w:rsidRPr="009348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следующие. Так как, по информации маркетологов, продукция будет пользоваться высоким спросом </w:t>
      </w:r>
      <w:proofErr w:type="gramStart"/>
      <w:r w:rsidRPr="00934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93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года, а затем продажи значительно упадут.</w:t>
      </w:r>
    </w:p>
    <w:p w:rsidR="00770A6E" w:rsidRPr="00E15635" w:rsidRDefault="00770A6E" w:rsidP="00672C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этих случаях способ уменьшаемого остатка даст наиболее достоверную информацию в отчетности, так как именно </w:t>
      </w:r>
      <w:proofErr w:type="gramStart"/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периоды,</w:t>
      </w:r>
      <w:r w:rsidR="003656D2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6D2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оборудование принесет бо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льшую выручку, придутся основные суммы амортизации.</w:t>
      </w:r>
    </w:p>
    <w:p w:rsidR="003656D2" w:rsidRPr="00E15635" w:rsidRDefault="003656D2" w:rsidP="00672C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отметить, что применение данного способа амортизации может привести к тому, что к концу срока полезного использования имущество еще будет </w:t>
      </w:r>
      <w:proofErr w:type="spellStart"/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самортизированно</w:t>
      </w:r>
      <w:proofErr w:type="spellEnd"/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полностью. В результате возникнет спорная ситуация, продолжать ли амортизировать объект за пределами срока полезного использования или списать остаток единовременно.</w:t>
      </w:r>
    </w:p>
    <w:p w:rsidR="00672C66" w:rsidRPr="00E15635" w:rsidRDefault="003656D2" w:rsidP="00672C66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Преимущество способа списания стоимости по сумме чисел лет срока полезного использования то же, что и у предыдущего – в первые годы эксплуатации объект будет амортизироваться быстрее, чем при линейном способе. Снижая среднегодовую стоимость имущества и, соответственно, налог на него. Причем в отличие от способа уменьшаемого остатка стоимость основных средств гарантированно полностью переносится на себестоимость в течение срока их полезного использования. </w:t>
      </w:r>
    </w:p>
    <w:p w:rsidR="00672C66" w:rsidRPr="00E15635" w:rsidRDefault="003656D2" w:rsidP="00672C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способа состоит в необходимости пересчета норм амортизационных отчислений на первое число календарного года по каждому объекту. Поэтому в случае наличия у компании большого количества основных средств могут возникнуть трудности при использовании данного способа.</w:t>
      </w:r>
      <w:r w:rsidR="00672C66"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Недостаток способа состоит в необходимости пересчета норм амортизационных отчислений на первое число календарного года по каждому объекту. Поэтому в случае наличия у компании большого количества основных средств могут возникнуть трудности при использовании данного способа.</w:t>
      </w:r>
    </w:p>
    <w:p w:rsidR="00672C66" w:rsidRPr="00E15635" w:rsidRDefault="00672C66" w:rsidP="00672C66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этот способ можно только </w:t>
      </w:r>
      <w:proofErr w:type="gramStart"/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ОС, на которых производится продукция (с помощью которых выполняются работы).</w:t>
      </w:r>
    </w:p>
    <w:p w:rsidR="003656D2" w:rsidRPr="00E15635" w:rsidRDefault="00672C66" w:rsidP="00672C66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сумма амортизации и размер остаточной стоимости зависят от интенсивности использования ОС при изготовлении продукции (выполнении работ). Очевидно, если выпуск продукции ограничен по 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каким-то причинам (например, нет спроса), сумма амортизации будет меньше. Если объем выпускаемой продукции будет расти, то будут расти и расходы. Поскольку доходы зависят от выпуска продукции, то такой способ амортизации лучше, чем другие, соотносит расходы с полученными доходами.</w:t>
      </w:r>
    </w:p>
    <w:p w:rsidR="00672C66" w:rsidRPr="00E15635" w:rsidRDefault="00672C66" w:rsidP="00672C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исчисления налога на имущество способ, пропорциональный объему продукции, выгоден, если выпуск продукции со временем снижается. Тогда в первые годы амортизация будет максимальной, что снизит налог. Кроме того, при расчете</w:t>
      </w:r>
      <w:r w:rsidR="00BC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амортизации данным способом выгоднее всего пессимистично оценивать объем производства за срок полезного использования. Ведь чем он меньше по сравнению с фактическим выпуском, тем быстрее </w:t>
      </w:r>
      <w:proofErr w:type="spellStart"/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самортизируется</w:t>
      </w:r>
      <w:proofErr w:type="spellEnd"/>
      <w:r w:rsidRPr="00E1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объект. При таком занижении планов возможен полный перенос стоимости объекта в расходы в первый же год, что значительно сократит сумму налога на имущество.</w:t>
      </w:r>
    </w:p>
    <w:p w:rsidR="00350CD3" w:rsidRPr="00F73B46" w:rsidRDefault="00E15635" w:rsidP="00672C66">
      <w:pPr>
        <w:shd w:val="clear" w:color="auto" w:fill="FFFFFF"/>
        <w:tabs>
          <w:tab w:val="left" w:pos="3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заключительным </w:t>
      </w:r>
      <w:proofErr w:type="gramStart"/>
      <w:r w:rsidRPr="000A19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proofErr w:type="gramEnd"/>
      <w:r w:rsidR="00BC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9A0" w:rsidRPr="000A1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проводится рефлексия: студенты высказывают свое мнение</w:t>
      </w:r>
      <w:r w:rsidR="00F7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</w:t>
      </w:r>
      <w:r w:rsidR="000A19A0" w:rsidRPr="000A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получилось, а что нет, что они поняли и что вызвало затруднения</w:t>
      </w:r>
      <w:r w:rsidR="000A1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2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9A0" w:rsidRPr="000A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стараются оценить не только свою работу, но и </w:t>
      </w:r>
      <w:r w:rsidR="000A19A0" w:rsidRPr="00F73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заслуги своих однокурсников.</w:t>
      </w:r>
    </w:p>
    <w:p w:rsidR="00E53F6C" w:rsidRPr="00F73B46" w:rsidRDefault="00F73B46" w:rsidP="00672C66">
      <w:pPr>
        <w:shd w:val="clear" w:color="auto" w:fill="FFFFFF"/>
        <w:tabs>
          <w:tab w:val="left" w:pos="3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 полученные в ходе проведения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свидетельствуют о том, что </w:t>
      </w:r>
      <w:r w:rsidR="002A2DCA" w:rsidRPr="00F7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</w:t>
      </w:r>
      <w:r w:rsidR="002A2DCA" w:rsidRPr="00F73B46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проблемно-познавательных задач способствует формировани</w:t>
      </w:r>
      <w:r w:rsidRPr="00F73B46">
        <w:rPr>
          <w:rFonts w:ascii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студентов </w:t>
      </w:r>
      <w:r w:rsidR="002A2DCA" w:rsidRPr="00F73B46">
        <w:rPr>
          <w:rFonts w:ascii="Times New Roman" w:hAnsi="Times New Roman" w:cs="Times New Roman"/>
          <w:color w:val="000000"/>
          <w:spacing w:val="-7"/>
          <w:sz w:val="28"/>
          <w:szCs w:val="28"/>
        </w:rPr>
        <w:t>умений устанавливать причинно-следственные связи по фактам и явлениям, возникающ</w:t>
      </w:r>
      <w:r w:rsidR="002A2DCA" w:rsidRPr="00F73B46">
        <w:rPr>
          <w:rFonts w:ascii="Times New Roman" w:hAnsi="Times New Roman" w:cs="Times New Roman"/>
          <w:color w:val="000000"/>
          <w:spacing w:val="-8"/>
          <w:sz w:val="28"/>
          <w:szCs w:val="28"/>
        </w:rPr>
        <w:t>им в учебно-производственной деятельности</w:t>
      </w:r>
      <w:r w:rsidRPr="00F73B46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BC3541" w:rsidRPr="00E15635" w:rsidRDefault="00BC3541">
      <w:pPr>
        <w:shd w:val="clear" w:color="auto" w:fill="FFFFFF"/>
        <w:tabs>
          <w:tab w:val="left" w:pos="394"/>
        </w:tabs>
        <w:spacing w:before="288"/>
        <w:ind w:left="38"/>
        <w:rPr>
          <w:spacing w:val="-6"/>
        </w:rPr>
      </w:pPr>
    </w:p>
    <w:sectPr w:rsidR="00BC3541" w:rsidRPr="00E15635" w:rsidSect="00E24DB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E3" w:rsidRDefault="00473AE3" w:rsidP="00020EA6">
      <w:pPr>
        <w:spacing w:after="0" w:line="240" w:lineRule="auto"/>
      </w:pPr>
      <w:r>
        <w:separator/>
      </w:r>
    </w:p>
  </w:endnote>
  <w:endnote w:type="continuationSeparator" w:id="0">
    <w:p w:rsidR="00473AE3" w:rsidRDefault="00473AE3" w:rsidP="0002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E3" w:rsidRDefault="00473AE3" w:rsidP="00020EA6">
      <w:pPr>
        <w:spacing w:after="0" w:line="240" w:lineRule="auto"/>
      </w:pPr>
      <w:r>
        <w:separator/>
      </w:r>
    </w:p>
  </w:footnote>
  <w:footnote w:type="continuationSeparator" w:id="0">
    <w:p w:rsidR="00473AE3" w:rsidRDefault="00473AE3" w:rsidP="0002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4D4"/>
    <w:multiLevelType w:val="hybridMultilevel"/>
    <w:tmpl w:val="8674963E"/>
    <w:lvl w:ilvl="0" w:tplc="70481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420462"/>
    <w:multiLevelType w:val="hybridMultilevel"/>
    <w:tmpl w:val="CC88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2006"/>
    <w:multiLevelType w:val="hybridMultilevel"/>
    <w:tmpl w:val="63088250"/>
    <w:lvl w:ilvl="0" w:tplc="70481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A7BF2"/>
    <w:multiLevelType w:val="hybridMultilevel"/>
    <w:tmpl w:val="6D6C3A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E417CB9"/>
    <w:multiLevelType w:val="hybridMultilevel"/>
    <w:tmpl w:val="3B0833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6C53654"/>
    <w:multiLevelType w:val="hybridMultilevel"/>
    <w:tmpl w:val="A880C2AE"/>
    <w:lvl w:ilvl="0" w:tplc="1EA4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F63DA6">
      <w:numFmt w:val="bullet"/>
      <w:lvlText w:val="•"/>
      <w:lvlJc w:val="left"/>
      <w:pPr>
        <w:ind w:left="2845" w:hanging="1416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7D71B3"/>
    <w:multiLevelType w:val="multilevel"/>
    <w:tmpl w:val="5AC0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802D3"/>
    <w:multiLevelType w:val="multilevel"/>
    <w:tmpl w:val="EE6075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B0372"/>
    <w:multiLevelType w:val="multilevel"/>
    <w:tmpl w:val="CF4A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EA6"/>
    <w:rsid w:val="0001288A"/>
    <w:rsid w:val="00020EA6"/>
    <w:rsid w:val="0003231C"/>
    <w:rsid w:val="00052E5D"/>
    <w:rsid w:val="00073428"/>
    <w:rsid w:val="00096A98"/>
    <w:rsid w:val="000A19A0"/>
    <w:rsid w:val="000B6370"/>
    <w:rsid w:val="000D086B"/>
    <w:rsid w:val="00101392"/>
    <w:rsid w:val="001508ED"/>
    <w:rsid w:val="00152DA2"/>
    <w:rsid w:val="0015571D"/>
    <w:rsid w:val="00180EB2"/>
    <w:rsid w:val="00185C01"/>
    <w:rsid w:val="00186918"/>
    <w:rsid w:val="00191ED8"/>
    <w:rsid w:val="00216278"/>
    <w:rsid w:val="002246CE"/>
    <w:rsid w:val="002302DD"/>
    <w:rsid w:val="00241563"/>
    <w:rsid w:val="00267875"/>
    <w:rsid w:val="002A2DCA"/>
    <w:rsid w:val="002F5C2D"/>
    <w:rsid w:val="00350CD3"/>
    <w:rsid w:val="003656D2"/>
    <w:rsid w:val="0037217F"/>
    <w:rsid w:val="003D4E71"/>
    <w:rsid w:val="00400778"/>
    <w:rsid w:val="004015A0"/>
    <w:rsid w:val="004159C4"/>
    <w:rsid w:val="00443474"/>
    <w:rsid w:val="00473AE3"/>
    <w:rsid w:val="0048422A"/>
    <w:rsid w:val="004C2585"/>
    <w:rsid w:val="004E1E0A"/>
    <w:rsid w:val="005670C7"/>
    <w:rsid w:val="005F5108"/>
    <w:rsid w:val="00605438"/>
    <w:rsid w:val="006071F7"/>
    <w:rsid w:val="00632106"/>
    <w:rsid w:val="006369F3"/>
    <w:rsid w:val="00642E6F"/>
    <w:rsid w:val="006457BF"/>
    <w:rsid w:val="00672C66"/>
    <w:rsid w:val="006823C6"/>
    <w:rsid w:val="00690DF3"/>
    <w:rsid w:val="006941C4"/>
    <w:rsid w:val="006A08F0"/>
    <w:rsid w:val="006A1764"/>
    <w:rsid w:val="006A3992"/>
    <w:rsid w:val="006C5446"/>
    <w:rsid w:val="006E4BFE"/>
    <w:rsid w:val="006E749B"/>
    <w:rsid w:val="00701C3B"/>
    <w:rsid w:val="0070327B"/>
    <w:rsid w:val="007436B9"/>
    <w:rsid w:val="0075200A"/>
    <w:rsid w:val="00765ED4"/>
    <w:rsid w:val="00770A6E"/>
    <w:rsid w:val="00776BB5"/>
    <w:rsid w:val="00790F4E"/>
    <w:rsid w:val="007B3667"/>
    <w:rsid w:val="00814B6D"/>
    <w:rsid w:val="0086064C"/>
    <w:rsid w:val="00870D5E"/>
    <w:rsid w:val="008926FA"/>
    <w:rsid w:val="008C0F4B"/>
    <w:rsid w:val="00900D36"/>
    <w:rsid w:val="00905289"/>
    <w:rsid w:val="009348CD"/>
    <w:rsid w:val="00937B87"/>
    <w:rsid w:val="00946C4D"/>
    <w:rsid w:val="00970598"/>
    <w:rsid w:val="0097726B"/>
    <w:rsid w:val="009B61C0"/>
    <w:rsid w:val="009D3529"/>
    <w:rsid w:val="00A11808"/>
    <w:rsid w:val="00AA54E7"/>
    <w:rsid w:val="00AB6660"/>
    <w:rsid w:val="00B068BC"/>
    <w:rsid w:val="00B0739B"/>
    <w:rsid w:val="00B344F9"/>
    <w:rsid w:val="00B60085"/>
    <w:rsid w:val="00B94E93"/>
    <w:rsid w:val="00BA52CE"/>
    <w:rsid w:val="00BA56CF"/>
    <w:rsid w:val="00BC3541"/>
    <w:rsid w:val="00BE3F96"/>
    <w:rsid w:val="00C13B2F"/>
    <w:rsid w:val="00C64879"/>
    <w:rsid w:val="00C80998"/>
    <w:rsid w:val="00C845AF"/>
    <w:rsid w:val="00C91C2A"/>
    <w:rsid w:val="00CA4489"/>
    <w:rsid w:val="00CB2C35"/>
    <w:rsid w:val="00D21A47"/>
    <w:rsid w:val="00D2219F"/>
    <w:rsid w:val="00D23179"/>
    <w:rsid w:val="00D313DD"/>
    <w:rsid w:val="00D7445C"/>
    <w:rsid w:val="00D82489"/>
    <w:rsid w:val="00D94BB3"/>
    <w:rsid w:val="00DB714B"/>
    <w:rsid w:val="00DF3C2B"/>
    <w:rsid w:val="00E15635"/>
    <w:rsid w:val="00E24DBC"/>
    <w:rsid w:val="00E50E8F"/>
    <w:rsid w:val="00E53F6C"/>
    <w:rsid w:val="00E767FC"/>
    <w:rsid w:val="00E772ED"/>
    <w:rsid w:val="00EB17B4"/>
    <w:rsid w:val="00EF5965"/>
    <w:rsid w:val="00F16C49"/>
    <w:rsid w:val="00F73B46"/>
    <w:rsid w:val="00F862A4"/>
    <w:rsid w:val="00F86CFF"/>
    <w:rsid w:val="00FE14FB"/>
    <w:rsid w:val="00FE2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EA6"/>
  </w:style>
  <w:style w:type="paragraph" w:styleId="a5">
    <w:name w:val="footer"/>
    <w:basedOn w:val="a"/>
    <w:link w:val="a6"/>
    <w:uiPriority w:val="99"/>
    <w:unhideWhenUsed/>
    <w:rsid w:val="0002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EA6"/>
  </w:style>
  <w:style w:type="table" w:styleId="a7">
    <w:name w:val="Table Grid"/>
    <w:basedOn w:val="a1"/>
    <w:uiPriority w:val="59"/>
    <w:rsid w:val="00E7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54E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0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9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23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2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407F-DB2B-4EED-B674-25D7100A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18</cp:revision>
  <cp:lastPrinted>2017-04-11T05:01:00Z</cp:lastPrinted>
  <dcterms:created xsi:type="dcterms:W3CDTF">2017-04-07T04:42:00Z</dcterms:created>
  <dcterms:modified xsi:type="dcterms:W3CDTF">2017-05-17T09:56:00Z</dcterms:modified>
</cp:coreProperties>
</file>